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0" w:type="dxa"/>
        <w:tblInd w:w="108" w:type="dxa"/>
        <w:tblLayout w:type="fixed"/>
        <w:tblCellMar>
          <w:top w:w="0" w:type="dxa"/>
          <w:left w:w="108" w:type="dxa"/>
          <w:bottom w:w="0" w:type="dxa"/>
          <w:right w:w="108" w:type="dxa"/>
        </w:tblCellMar>
      </w:tblPr>
      <w:tblGrid>
        <w:gridCol w:w="4422"/>
        <w:gridCol w:w="4398"/>
      </w:tblGrid>
      <w:tr>
        <w:tblPrEx>
          <w:tblCellMar>
            <w:top w:w="0" w:type="dxa"/>
            <w:left w:w="108" w:type="dxa"/>
            <w:bottom w:w="0" w:type="dxa"/>
            <w:right w:w="108" w:type="dxa"/>
          </w:tblCellMar>
        </w:tblPrEx>
        <w:tc>
          <w:tcPr>
            <w:tcW w:w="4422" w:type="dxa"/>
            <w:noWrap w:val="0"/>
            <w:vAlign w:val="top"/>
          </w:tcPr>
          <w:p>
            <w:bookmarkStart w:id="1" w:name="_GoBack"/>
            <w:bookmarkEnd w:id="1"/>
          </w:p>
        </w:tc>
        <w:tc>
          <w:tcPr>
            <w:tcW w:w="4398" w:type="dxa"/>
            <w:noWrap w:val="0"/>
            <w:vAlign w:val="top"/>
          </w:tcPr>
          <w:p/>
        </w:tc>
      </w:tr>
      <w:tr>
        <w:tblPrEx>
          <w:tblCellMar>
            <w:top w:w="0" w:type="dxa"/>
            <w:left w:w="108" w:type="dxa"/>
            <w:bottom w:w="0" w:type="dxa"/>
            <w:right w:w="108" w:type="dxa"/>
          </w:tblCellMar>
        </w:tblPrEx>
        <w:tc>
          <w:tcPr>
            <w:tcW w:w="4422" w:type="dxa"/>
            <w:noWrap w:val="0"/>
            <w:vAlign w:val="top"/>
          </w:tcPr>
          <w:p>
            <w:r>
              <w:rPr>
                <w:sz w:val="20"/>
              </w:rPr>
              <w:pict>
                <v:shape id="_x0000_s1026" o:spid="_x0000_s1026" o:spt="136" type="#_x0000_t136" style="position:absolute;left:0pt;margin-left:-5.4pt;margin-top:10.55pt;height:52.5pt;width:440.1pt;z-index:251660288;mso-width-relative:page;mso-height-relative:page;" fillcolor="#FF0000" filled="t" stroked="t" coordsize="21600,21600">
                  <v:path/>
                  <v:fill on="t" focussize="0,0"/>
                  <v:stroke weight="1pt" color="#FF0000"/>
                  <v:imagedata o:title=""/>
                  <o:lock v:ext="edit" text="f"/>
                  <v:textpath on="t" fitshape="t" fitpath="t" trim="t" xscale="f" string="重庆市人力资源和社会保障局电子文件" style="font-family:方正小标宋简体;font-size:44pt;v-rotate-letters:f;v-same-letter-heights:f;v-text-align:center;"/>
                </v:shape>
              </w:pict>
            </w:r>
          </w:p>
        </w:tc>
        <w:tc>
          <w:tcPr>
            <w:tcW w:w="4398" w:type="dxa"/>
            <w:noWrap w:val="0"/>
            <w:vAlign w:val="top"/>
          </w:tcPr>
          <w:p/>
        </w:tc>
      </w:tr>
      <w:tr>
        <w:tblPrEx>
          <w:tblCellMar>
            <w:top w:w="0" w:type="dxa"/>
            <w:left w:w="108" w:type="dxa"/>
            <w:bottom w:w="0" w:type="dxa"/>
            <w:right w:w="108" w:type="dxa"/>
          </w:tblCellMar>
        </w:tblPrEx>
        <w:trPr>
          <w:trHeight w:val="700" w:hRule="atLeast"/>
        </w:trPr>
        <w:tc>
          <w:tcPr>
            <w:tcW w:w="4422" w:type="dxa"/>
            <w:noWrap w:val="0"/>
            <w:vAlign w:val="top"/>
          </w:tcPr>
          <w:p/>
        </w:tc>
        <w:tc>
          <w:tcPr>
            <w:tcW w:w="4398" w:type="dxa"/>
            <w:noWrap w:val="0"/>
            <w:vAlign w:val="top"/>
          </w:tcPr>
          <w:p/>
        </w:tc>
      </w:tr>
      <w:tr>
        <w:tblPrEx>
          <w:tblCellMar>
            <w:top w:w="0" w:type="dxa"/>
            <w:left w:w="108" w:type="dxa"/>
            <w:bottom w:w="0" w:type="dxa"/>
            <w:right w:w="108" w:type="dxa"/>
          </w:tblCellMar>
        </w:tblPrEx>
        <w:trPr>
          <w:cantSplit/>
        </w:trPr>
        <w:tc>
          <w:tcPr>
            <w:tcW w:w="8820" w:type="dxa"/>
            <w:gridSpan w:val="2"/>
            <w:noWrap w:val="0"/>
            <w:vAlign w:val="top"/>
          </w:tcPr>
          <w:p>
            <w:pPr>
              <w:jc w:val="center"/>
            </w:pPr>
          </w:p>
        </w:tc>
      </w:tr>
      <w:tr>
        <w:tblPrEx>
          <w:tblCellMar>
            <w:top w:w="0" w:type="dxa"/>
            <w:left w:w="108" w:type="dxa"/>
            <w:bottom w:w="0" w:type="dxa"/>
            <w:right w:w="108" w:type="dxa"/>
          </w:tblCellMar>
        </w:tblPrEx>
        <w:trPr>
          <w:cantSplit/>
        </w:trPr>
        <w:tc>
          <w:tcPr>
            <w:tcW w:w="8820" w:type="dxa"/>
            <w:gridSpan w:val="2"/>
            <w:noWrap w:val="0"/>
            <w:vAlign w:val="top"/>
          </w:tcPr>
          <w:p>
            <w:pPr>
              <w:rPr>
                <w:rFonts w:eastAsia="方正仿宋_GBK"/>
              </w:rPr>
            </w:pPr>
          </w:p>
          <w:p>
            <w:pPr>
              <w:jc w:val="center"/>
              <w:rPr>
                <w:rFonts w:eastAsia="方正仿宋_GBK"/>
                <w:szCs w:val="32"/>
              </w:rPr>
            </w:pPr>
            <w:r>
              <w:rPr>
                <w:rFonts w:eastAsia="方正仿宋_GBK"/>
                <w:szCs w:val="32"/>
              </w:rPr>
              <w:t>渝人社发〔2017〕165号</w:t>
            </w:r>
          </w:p>
        </w:tc>
      </w:tr>
    </w:tbl>
    <w:p>
      <w:r>
        <mc:AlternateContent>
          <mc:Choice Requires="wps">
            <w:drawing>
              <wp:anchor distT="0" distB="0" distL="114300" distR="114300" simplePos="0" relativeHeight="251659264" behindDoc="0" locked="0" layoutInCell="0" allowOverlap="1">
                <wp:simplePos x="0" y="0"/>
                <wp:positionH relativeFrom="column">
                  <wp:align>center</wp:align>
                </wp:positionH>
                <wp:positionV relativeFrom="paragraph">
                  <wp:posOffset>95885</wp:posOffset>
                </wp:positionV>
                <wp:extent cx="5579745" cy="9525"/>
                <wp:effectExtent l="0" t="19050" r="1905" b="28575"/>
                <wp:wrapNone/>
                <wp:docPr id="1" name="任意多边形 1"/>
                <wp:cNvGraphicFramePr/>
                <a:graphic xmlns:a="http://schemas.openxmlformats.org/drawingml/2006/main">
                  <a:graphicData uri="http://schemas.microsoft.com/office/word/2010/wordprocessingShape">
                    <wps:wsp>
                      <wps:cNvSpPr/>
                      <wps:spPr>
                        <a:xfrm>
                          <a:off x="0" y="0"/>
                          <a:ext cx="5579745" cy="9525"/>
                        </a:xfrm>
                        <a:custGeom>
                          <a:avLst/>
                          <a:gdLst/>
                          <a:ahLst/>
                          <a:cxnLst/>
                          <a:pathLst>
                            <a:path w="8925" h="15">
                              <a:moveTo>
                                <a:pt x="0" y="0"/>
                              </a:moveTo>
                              <a:lnTo>
                                <a:pt x="8925" y="15"/>
                              </a:lnTo>
                            </a:path>
                          </a:pathLst>
                        </a:custGeom>
                        <a:noFill/>
                        <a:ln w="38100" cap="flat" cmpd="sng">
                          <a:solidFill>
                            <a:srgbClr val="FF0000"/>
                          </a:solidFill>
                          <a:prstDash val="solid"/>
                          <a:headEnd type="none" w="med" len="med"/>
                          <a:tailEnd type="none" w="med" len="med"/>
                        </a:ln>
                      </wps:spPr>
                      <wps:txbx>
                        <w:txbxContent>
                          <w:p>
                            <w:pPr>
                              <w:jc w:val="center"/>
                            </w:pPr>
                          </w:p>
                        </w:txbxContent>
                      </wps:txbx>
                      <wps:bodyPr upright="1"/>
                    </wps:wsp>
                  </a:graphicData>
                </a:graphic>
              </wp:anchor>
            </w:drawing>
          </mc:Choice>
          <mc:Fallback>
            <w:pict>
              <v:shape id="_x0000_s1026" o:spid="_x0000_s1026" o:spt="100" style="position:absolute;left:0pt;margin-top:7.55pt;height:0.75pt;width:439.35pt;mso-position-horizontal:center;z-index:251659264;mso-width-relative:page;mso-height-relative:page;" filled="f" stroked="t" coordsize="8925,15" o:allowincell="f" o:gfxdata="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95gWx1wAAAAYBAAAPAAAAAAAAAAEAIAAAACIAAABkcnMv&#10;ZG93bnJldi54bWxQSwECFAAUAAAACACHTuJA1CUFij0CAACZBAAADgAAAAAAAAABACAAAAAmAQAA&#10;ZHJzL2Uyb0RvYy54bWxQSwUGAAAAAAYABgBZAQAA1QUAAAAA&#10;" path="m0,0l8925,15e">
                <v:path textboxrect="0,0,8925,15"/>
                <v:fill on="f" focussize="0,0"/>
                <v:stroke weight="3pt" color="#FF0000" joinstyle="round"/>
                <v:imagedata o:title=""/>
                <o:lock v:ext="edit" aspectratio="f"/>
                <v:textbox>
                  <w:txbxContent>
                    <w:p>
                      <w:pPr>
                        <w:jc w:val="center"/>
                      </w:pPr>
                    </w:p>
                  </w:txbxContent>
                </v:textbox>
              </v:shape>
            </w:pict>
          </mc:Fallback>
        </mc:AlternateContent>
      </w:r>
    </w:p>
    <w:p/>
    <w:p>
      <w:pPr>
        <w:spacing w:line="600" w:lineRule="exact"/>
        <w:jc w:val="center"/>
        <w:rPr>
          <w:rFonts w:eastAsia="方正小标宋_GBK"/>
          <w:sz w:val="44"/>
          <w:szCs w:val="44"/>
        </w:rPr>
      </w:pPr>
      <w:r>
        <w:rPr>
          <w:rFonts w:eastAsia="方正小标宋_GBK"/>
          <w:sz w:val="44"/>
          <w:szCs w:val="44"/>
        </w:rPr>
        <w:t>重庆市人力资源和社会保障局重庆市财政局</w:t>
      </w:r>
    </w:p>
    <w:p>
      <w:pPr>
        <w:spacing w:line="600" w:lineRule="exact"/>
        <w:jc w:val="center"/>
        <w:rPr>
          <w:rFonts w:eastAsia="方正小标宋_GBK"/>
          <w:sz w:val="44"/>
          <w:szCs w:val="44"/>
        </w:rPr>
      </w:pPr>
      <w:r>
        <w:rPr>
          <w:rFonts w:eastAsia="方正小标宋_GBK"/>
          <w:sz w:val="44"/>
          <w:szCs w:val="44"/>
        </w:rPr>
        <w:t>关于失业保险支持参保职工提升职业技能</w:t>
      </w:r>
    </w:p>
    <w:p>
      <w:pPr>
        <w:spacing w:line="600" w:lineRule="exact"/>
        <w:jc w:val="center"/>
        <w:rPr>
          <w:rFonts w:eastAsia="方正小标宋_GBK"/>
          <w:sz w:val="44"/>
          <w:szCs w:val="44"/>
        </w:rPr>
      </w:pPr>
      <w:r>
        <w:rPr>
          <w:rFonts w:eastAsia="方正小标宋_GBK"/>
          <w:sz w:val="44"/>
          <w:szCs w:val="44"/>
        </w:rPr>
        <w:t>有关问题的通知</w:t>
      </w:r>
    </w:p>
    <w:p>
      <w:pPr>
        <w:spacing w:line="600" w:lineRule="exact"/>
        <w:ind w:firstLine="420" w:firstLineChars="200"/>
        <w:rPr>
          <w:rFonts w:eastAsia="方正仿宋_GBK"/>
        </w:rPr>
      </w:pPr>
    </w:p>
    <w:p>
      <w:pPr>
        <w:spacing w:line="600" w:lineRule="exact"/>
        <w:rPr>
          <w:rFonts w:eastAsia="方正仿宋_GBK"/>
          <w:sz w:val="32"/>
          <w:szCs w:val="32"/>
        </w:rPr>
      </w:pPr>
      <w:r>
        <w:rPr>
          <w:rFonts w:eastAsia="方正仿宋_GBK"/>
          <w:sz w:val="32"/>
          <w:szCs w:val="32"/>
        </w:rPr>
        <w:t>各区县（自治县）人力资源和社会保障局、财政局，两江新区社会保障局、财政局，万盛经开区人力资源和社会保障局、财政局：</w:t>
      </w:r>
    </w:p>
    <w:p>
      <w:pPr>
        <w:spacing w:line="600" w:lineRule="exact"/>
        <w:ind w:firstLine="640" w:firstLineChars="200"/>
        <w:rPr>
          <w:rFonts w:eastAsia="方正仿宋_GBK"/>
          <w:sz w:val="32"/>
          <w:szCs w:val="32"/>
        </w:rPr>
      </w:pPr>
      <w:r>
        <w:rPr>
          <w:rFonts w:eastAsia="方正仿宋_GBK"/>
          <w:sz w:val="32"/>
          <w:szCs w:val="32"/>
        </w:rPr>
        <w:t>为充分发挥失业保险预防失业、稳定就业的作用，根据《人力资源社会保障部财政部关于失业保险支持参保职工提升职业技能有关问题的通知》（人社部发〔2017〕40号）要求，结合我市实际，现将失业保险支持参保职工提升职业技能有关问题通知如下：</w:t>
      </w:r>
    </w:p>
    <w:p>
      <w:pPr>
        <w:spacing w:line="600" w:lineRule="exact"/>
        <w:ind w:firstLine="640" w:firstLineChars="200"/>
        <w:rPr>
          <w:rFonts w:eastAsia="方正黑体_GBK"/>
          <w:sz w:val="32"/>
          <w:szCs w:val="32"/>
        </w:rPr>
      </w:pPr>
      <w:r>
        <w:rPr>
          <w:rFonts w:eastAsia="方正黑体_GBK"/>
          <w:sz w:val="32"/>
          <w:szCs w:val="32"/>
        </w:rPr>
        <w:t>一、对象范围</w:t>
      </w:r>
    </w:p>
    <w:p>
      <w:pPr>
        <w:spacing w:line="600" w:lineRule="exact"/>
        <w:ind w:firstLine="640" w:firstLineChars="200"/>
        <w:rPr>
          <w:rFonts w:eastAsia="方正仿宋_GBK"/>
          <w:sz w:val="32"/>
          <w:szCs w:val="32"/>
        </w:rPr>
      </w:pPr>
      <w:r>
        <w:rPr>
          <w:rFonts w:eastAsia="方正仿宋_GBK"/>
          <w:sz w:val="32"/>
          <w:szCs w:val="32"/>
        </w:rPr>
        <w:t>在渝注册并依法参加失业保险、足额缴纳失业保险费企业中法定劳动年龄段在岗参保职工，自2017年1月1日起取得职业资格证书、职业技能等级证书的在岗职工，可按规定申请参保职工技能提升补贴。</w:t>
      </w:r>
    </w:p>
    <w:p>
      <w:pPr>
        <w:spacing w:line="600" w:lineRule="exact"/>
        <w:ind w:firstLine="640" w:firstLineChars="200"/>
        <w:rPr>
          <w:rFonts w:eastAsia="方正黑体_GBK"/>
          <w:sz w:val="32"/>
          <w:szCs w:val="32"/>
        </w:rPr>
      </w:pPr>
      <w:r>
        <w:rPr>
          <w:rFonts w:eastAsia="方正黑体_GBK"/>
          <w:sz w:val="32"/>
          <w:szCs w:val="32"/>
        </w:rPr>
        <w:t>二、申领条件</w:t>
      </w:r>
    </w:p>
    <w:p>
      <w:pPr>
        <w:spacing w:line="600" w:lineRule="exact"/>
        <w:ind w:firstLine="640" w:firstLineChars="200"/>
        <w:rPr>
          <w:rFonts w:eastAsia="方正仿宋_GBK"/>
          <w:sz w:val="32"/>
          <w:szCs w:val="32"/>
        </w:rPr>
      </w:pPr>
      <w:r>
        <w:rPr>
          <w:rFonts w:eastAsia="方正仿宋_GBK"/>
          <w:sz w:val="32"/>
          <w:szCs w:val="32"/>
        </w:rPr>
        <w:t>同时符合以下条件的企业在岗职工（以下简称“职工”），可申领技能提升补贴：</w:t>
      </w:r>
    </w:p>
    <w:p>
      <w:pPr>
        <w:spacing w:line="600" w:lineRule="exact"/>
        <w:ind w:firstLine="640" w:firstLineChars="200"/>
        <w:rPr>
          <w:rFonts w:eastAsia="方正仿宋_GBK"/>
          <w:sz w:val="32"/>
          <w:szCs w:val="32"/>
        </w:rPr>
      </w:pPr>
      <w:r>
        <w:rPr>
          <w:rFonts w:eastAsia="方正仿宋_GBK"/>
          <w:sz w:val="32"/>
          <w:szCs w:val="32"/>
        </w:rPr>
        <w:t>（一）依法参加失业保险、缴纳失业保险费，累计缴纳失业保险费满36个月及以上的。</w:t>
      </w:r>
    </w:p>
    <w:p>
      <w:pPr>
        <w:spacing w:line="600" w:lineRule="exact"/>
        <w:ind w:firstLine="640" w:firstLineChars="200"/>
        <w:rPr>
          <w:rFonts w:eastAsia="方正仿宋_GBK"/>
          <w:sz w:val="32"/>
          <w:szCs w:val="32"/>
        </w:rPr>
      </w:pPr>
      <w:r>
        <w:rPr>
          <w:rFonts w:eastAsia="方正仿宋_GBK"/>
          <w:sz w:val="32"/>
          <w:szCs w:val="32"/>
        </w:rPr>
        <w:t>（二）在岗缴纳失业保险费期间取得初级（五级）、中级（四级）、高级（三级）职业资格证书或职业技能等级证书。</w:t>
      </w:r>
    </w:p>
    <w:p>
      <w:pPr>
        <w:spacing w:line="600" w:lineRule="exact"/>
        <w:ind w:firstLine="640" w:firstLineChars="200"/>
        <w:rPr>
          <w:rFonts w:eastAsia="方正黑体_GBK"/>
          <w:sz w:val="32"/>
          <w:szCs w:val="32"/>
        </w:rPr>
      </w:pPr>
      <w:r>
        <w:rPr>
          <w:rFonts w:eastAsia="方正黑体_GBK"/>
          <w:sz w:val="32"/>
          <w:szCs w:val="32"/>
        </w:rPr>
        <w:t>三、申领发放办法</w:t>
      </w:r>
    </w:p>
    <w:p>
      <w:pPr>
        <w:spacing w:line="600" w:lineRule="exact"/>
        <w:ind w:firstLine="640" w:firstLineChars="200"/>
        <w:rPr>
          <w:rFonts w:eastAsia="方正仿宋_GBK"/>
          <w:sz w:val="32"/>
          <w:szCs w:val="32"/>
        </w:rPr>
      </w:pPr>
      <w:r>
        <w:rPr>
          <w:rFonts w:eastAsia="方正仿宋_GBK"/>
          <w:sz w:val="32"/>
          <w:szCs w:val="32"/>
        </w:rPr>
        <w:t>（一）职工应在职业资格证书或职业技能等级证书核发之日起12个月内，持以下材料到本人失业保险参保地失业保险经办机构申领技能提升补贴：</w:t>
      </w:r>
    </w:p>
    <w:p>
      <w:pPr>
        <w:spacing w:line="600" w:lineRule="exact"/>
        <w:ind w:firstLine="640" w:firstLineChars="200"/>
        <w:rPr>
          <w:rFonts w:eastAsia="方正仿宋_GBK"/>
          <w:sz w:val="32"/>
          <w:szCs w:val="32"/>
        </w:rPr>
      </w:pPr>
      <w:r>
        <w:rPr>
          <w:rFonts w:eastAsia="方正仿宋_GBK"/>
          <w:sz w:val="32"/>
          <w:szCs w:val="32"/>
        </w:rPr>
        <w:t>1．职工本人身份证原件；</w:t>
      </w:r>
    </w:p>
    <w:p>
      <w:pPr>
        <w:spacing w:line="600" w:lineRule="exact"/>
        <w:ind w:firstLine="640" w:firstLineChars="200"/>
        <w:rPr>
          <w:rFonts w:eastAsia="方正仿宋_GBK"/>
          <w:sz w:val="32"/>
          <w:szCs w:val="32"/>
        </w:rPr>
      </w:pPr>
      <w:r>
        <w:rPr>
          <w:rFonts w:eastAsia="方正仿宋_GBK"/>
          <w:sz w:val="32"/>
          <w:szCs w:val="32"/>
        </w:rPr>
        <w:t>2．职工职业资格证书、技能等级证书原件；</w:t>
      </w:r>
    </w:p>
    <w:p>
      <w:pPr>
        <w:spacing w:line="600" w:lineRule="exact"/>
        <w:ind w:firstLine="640" w:firstLineChars="200"/>
        <w:rPr>
          <w:rFonts w:eastAsia="方正仿宋_GBK"/>
          <w:sz w:val="32"/>
          <w:szCs w:val="32"/>
        </w:rPr>
      </w:pPr>
      <w:r>
        <w:rPr>
          <w:rFonts w:eastAsia="方正仿宋_GBK"/>
          <w:sz w:val="32"/>
          <w:szCs w:val="32"/>
        </w:rPr>
        <w:t>3．职工本人社会保障卡或个人银行卡原件及复印件。</w:t>
      </w:r>
    </w:p>
    <w:p>
      <w:pPr>
        <w:spacing w:line="600" w:lineRule="exact"/>
        <w:ind w:firstLine="640" w:firstLineChars="200"/>
        <w:rPr>
          <w:rFonts w:eastAsia="方正仿宋_GBK"/>
          <w:sz w:val="32"/>
          <w:szCs w:val="32"/>
        </w:rPr>
      </w:pPr>
      <w:r>
        <w:rPr>
          <w:rFonts w:eastAsia="方正仿宋_GBK"/>
          <w:sz w:val="32"/>
          <w:szCs w:val="32"/>
        </w:rPr>
        <w:t>（二）失业保险经办机构通过查验失业保险参保信息，与职业资格证书、职业技能等级证书管理系统联网比对审核。</w:t>
      </w:r>
    </w:p>
    <w:p>
      <w:pPr>
        <w:spacing w:line="600" w:lineRule="exact"/>
        <w:ind w:firstLine="640" w:firstLineChars="200"/>
        <w:rPr>
          <w:rFonts w:eastAsia="方正仿宋_GBK"/>
          <w:sz w:val="32"/>
          <w:szCs w:val="32"/>
        </w:rPr>
      </w:pPr>
      <w:r>
        <w:rPr>
          <w:rFonts w:eastAsia="方正仿宋_GBK"/>
          <w:sz w:val="32"/>
          <w:szCs w:val="32"/>
        </w:rPr>
        <w:t>（三）失业保险经办机构按照规定程序对申请审核结果公示5个工作日。</w:t>
      </w:r>
    </w:p>
    <w:p>
      <w:pPr>
        <w:spacing w:line="600" w:lineRule="exact"/>
        <w:ind w:firstLine="640" w:firstLineChars="200"/>
        <w:rPr>
          <w:rFonts w:eastAsia="方正仿宋_GBK"/>
          <w:sz w:val="32"/>
          <w:szCs w:val="32"/>
        </w:rPr>
      </w:pPr>
      <w:r>
        <w:rPr>
          <w:rFonts w:eastAsia="方正仿宋_GBK"/>
          <w:sz w:val="32"/>
          <w:szCs w:val="32"/>
        </w:rPr>
        <w:t>（四）公示结束后无异议的，应按相关要求，将补贴发放至申请人本人的个人银行账户或社会保障卡。</w:t>
      </w:r>
    </w:p>
    <w:p>
      <w:pPr>
        <w:spacing w:line="600" w:lineRule="exact"/>
        <w:ind w:firstLine="640" w:firstLineChars="200"/>
        <w:rPr>
          <w:rFonts w:eastAsia="方正黑体_GBK"/>
          <w:sz w:val="32"/>
          <w:szCs w:val="32"/>
        </w:rPr>
      </w:pPr>
      <w:r>
        <w:rPr>
          <w:rFonts w:eastAsia="方正黑体_GBK"/>
          <w:sz w:val="32"/>
          <w:szCs w:val="32"/>
        </w:rPr>
        <w:t>四、补贴标准</w:t>
      </w:r>
    </w:p>
    <w:p>
      <w:pPr>
        <w:spacing w:line="600" w:lineRule="exact"/>
        <w:ind w:firstLine="640" w:firstLineChars="200"/>
        <w:rPr>
          <w:rFonts w:eastAsia="方正仿宋_GBK"/>
          <w:sz w:val="32"/>
          <w:szCs w:val="32"/>
        </w:rPr>
      </w:pPr>
      <w:r>
        <w:rPr>
          <w:rFonts w:eastAsia="方正仿宋_GBK"/>
          <w:sz w:val="32"/>
          <w:szCs w:val="32"/>
        </w:rPr>
        <w:t>依据我市产业发展方向和人力资源市场需求，补贴标准向相应的非常紧缺职业（工种）倾斜。根据我市最新发布的职业（工种）市场需求目录，取得初级（五级）、中级（四级）和高级（三级）职业资格证书或职业技能等级证书的，一般和紧缺职业（工种）及目录外工种分别补贴1000元、1500元和2000元，目录中非常紧缺职业（工种）分别补贴1200元、1800元和2500元。</w:t>
      </w:r>
    </w:p>
    <w:p>
      <w:pPr>
        <w:spacing w:line="600" w:lineRule="exact"/>
        <w:ind w:firstLine="640" w:firstLineChars="200"/>
        <w:rPr>
          <w:rFonts w:eastAsia="方正仿宋_GBK"/>
          <w:sz w:val="32"/>
          <w:szCs w:val="32"/>
        </w:rPr>
      </w:pPr>
      <w:r>
        <w:rPr>
          <w:rFonts w:eastAsia="方正仿宋_GBK"/>
          <w:sz w:val="32"/>
          <w:szCs w:val="32"/>
        </w:rPr>
        <w:t>同一职业（工种）同一等级只能申请并享受一次技能提升补贴。</w:t>
      </w:r>
    </w:p>
    <w:p>
      <w:pPr>
        <w:spacing w:line="600" w:lineRule="exact"/>
        <w:ind w:firstLine="640" w:firstLineChars="200"/>
        <w:rPr>
          <w:rFonts w:eastAsia="方正黑体_GBK"/>
          <w:sz w:val="32"/>
          <w:szCs w:val="32"/>
        </w:rPr>
      </w:pPr>
      <w:r>
        <w:rPr>
          <w:rFonts w:eastAsia="方正黑体_GBK"/>
          <w:sz w:val="32"/>
          <w:szCs w:val="32"/>
        </w:rPr>
        <w:t>五、资金使用</w:t>
      </w:r>
    </w:p>
    <w:p>
      <w:pPr>
        <w:spacing w:line="600" w:lineRule="exact"/>
        <w:ind w:firstLine="640" w:firstLineChars="200"/>
        <w:rPr>
          <w:rFonts w:eastAsia="方正仿宋_GBK"/>
          <w:sz w:val="32"/>
          <w:szCs w:val="32"/>
        </w:rPr>
      </w:pPr>
      <w:r>
        <w:rPr>
          <w:rFonts w:eastAsia="方正仿宋_GBK"/>
          <w:sz w:val="32"/>
          <w:szCs w:val="32"/>
        </w:rPr>
        <w:t>所需资金按规定从失业保险基金中列支。各区县（自治县）人力资源和社会保障部门、财政部门应密切配合，在失业保险基金科目中设立技能提升补贴科目，所需资金从失业保险基金技能提升补贴科目中列支。将技能提升补贴纳入失业保险基金预算管理，规范运作，切实保证基金有效使用和安全运行。</w:t>
      </w:r>
    </w:p>
    <w:p>
      <w:pPr>
        <w:spacing w:line="600" w:lineRule="exact"/>
        <w:ind w:firstLine="640" w:firstLineChars="200"/>
        <w:rPr>
          <w:rFonts w:eastAsia="方正黑体_GBK"/>
          <w:sz w:val="32"/>
          <w:szCs w:val="32"/>
        </w:rPr>
      </w:pPr>
      <w:r>
        <w:rPr>
          <w:rFonts w:eastAsia="方正黑体_GBK"/>
          <w:sz w:val="32"/>
          <w:szCs w:val="32"/>
        </w:rPr>
        <w:t>六、工作要求</w:t>
      </w:r>
    </w:p>
    <w:p>
      <w:pPr>
        <w:spacing w:line="600" w:lineRule="exact"/>
        <w:ind w:firstLine="640" w:firstLineChars="200"/>
        <w:rPr>
          <w:rFonts w:eastAsia="方正仿宋_GBK"/>
          <w:sz w:val="32"/>
          <w:szCs w:val="32"/>
        </w:rPr>
      </w:pPr>
      <w:r>
        <w:rPr>
          <w:rFonts w:eastAsia="方正仿宋_GBK"/>
          <w:sz w:val="32"/>
          <w:szCs w:val="32"/>
        </w:rPr>
        <w:t>（一）加强组织领导。失业保险支持参保职工提升职业技能是失业保险预防失业、稳定就业的重要举措，有利于弘扬工匠精神，促进我市人力资源提档升级，为产业转型升级提供人才支持。各区县（自治县）人力资源社会保障部门、财政部门要高度重视、精心组织、狠抓落实。</w:t>
      </w:r>
    </w:p>
    <w:p>
      <w:pPr>
        <w:spacing w:line="600" w:lineRule="exact"/>
        <w:ind w:firstLine="640" w:firstLineChars="200"/>
        <w:rPr>
          <w:rFonts w:eastAsia="方正仿宋_GBK"/>
          <w:sz w:val="32"/>
          <w:szCs w:val="32"/>
        </w:rPr>
      </w:pPr>
      <w:r>
        <w:rPr>
          <w:rFonts w:eastAsia="方正仿宋_GBK"/>
          <w:sz w:val="32"/>
          <w:szCs w:val="32"/>
        </w:rPr>
        <w:t>（二）提高审核效率。各区县（自治县）人力资源和社会保障部门应尽快确定相关责任领导和经办责任人，以“规范、安全、便捷”为原则，优化审核流程，强化信息共享，完善服务标准，创新服务模式，提高经办服务效率和质量。</w:t>
      </w:r>
    </w:p>
    <w:p>
      <w:pPr>
        <w:spacing w:line="600" w:lineRule="exact"/>
        <w:ind w:firstLine="640" w:firstLineChars="200"/>
        <w:rPr>
          <w:rFonts w:eastAsia="方正仿宋_GBK"/>
          <w:sz w:val="32"/>
          <w:szCs w:val="32"/>
        </w:rPr>
      </w:pPr>
      <w:r>
        <w:rPr>
          <w:rFonts w:eastAsia="方正仿宋_GBK"/>
          <w:sz w:val="32"/>
          <w:szCs w:val="32"/>
        </w:rPr>
        <w:t>（三）强化监督管理。职业技能鉴定机构要严格鉴定标准，严把证书发放质量关。失业保险经办机构与职业技能鉴定机构要共同建立信息共享、沟通协调机制，通过联网信息比对有效甄别证书的真实性，严防冒领、骗取补贴。各区县（自治县）人力社保部门要严格制定和执行补贴资金的审核、公示、拨付、监督等制度，严格财务管理和资金监管，防范廉洁风险。公示补贴发放情况，畅通投诉举报渠道，发挥社会监督作用。对违法违规行为，按规定追究相关责任。</w:t>
      </w:r>
    </w:p>
    <w:p>
      <w:pPr>
        <w:spacing w:line="600" w:lineRule="exact"/>
        <w:ind w:firstLine="640" w:firstLineChars="200"/>
        <w:rPr>
          <w:rFonts w:eastAsia="方正仿宋_GBK"/>
          <w:sz w:val="32"/>
          <w:szCs w:val="32"/>
        </w:rPr>
      </w:pPr>
      <w:r>
        <w:rPr>
          <w:rFonts w:eastAsia="方正仿宋_GBK"/>
          <w:sz w:val="32"/>
          <w:szCs w:val="32"/>
        </w:rPr>
        <w:t>（四）加大宣传力度。各区县（自治县）人力社保部门要设计编印通俗易懂的宣传材料，深入企业、街道、社区，开展形式多样的政策解读和集中宣传活动；在失业保险经办机构、职业技能鉴定机构、人力资源市场等场所，悬挂、张贴、发放宣传材料；运用广播电视、报纸期刊、微博微信等渠道宣传申领条件、申请办法、受理部门、办理时限。通过广泛宣传，使参保职工了解政策内容，熟悉办理程序，知晓办事场所，更方便更快捷地享受政策。</w:t>
      </w:r>
    </w:p>
    <w:p>
      <w:pPr>
        <w:spacing w:line="600" w:lineRule="exact"/>
        <w:ind w:firstLine="640" w:firstLineChars="200"/>
        <w:rPr>
          <w:rFonts w:eastAsia="方正仿宋_GBK"/>
          <w:sz w:val="32"/>
          <w:szCs w:val="32"/>
        </w:rPr>
      </w:pPr>
      <w:r>
        <w:rPr>
          <w:rFonts w:eastAsia="方正仿宋_GBK"/>
          <w:sz w:val="32"/>
          <w:szCs w:val="32"/>
        </w:rPr>
        <w:t>本《通知》自印发之日起开始实行。各区县（自治县）在政策执行中遇到的重大问题应及时向市人力社保局、财政局报告。市人力资源社会保障局、市财政局将适时组织开展政策绩效评估，根据运行效果调整完善政策。</w:t>
      </w:r>
    </w:p>
    <w:p>
      <w:pPr>
        <w:spacing w:line="600" w:lineRule="exact"/>
        <w:ind w:firstLine="640" w:firstLineChars="200"/>
        <w:rPr>
          <w:rFonts w:eastAsia="方正仿宋_GBK"/>
          <w:sz w:val="32"/>
          <w:szCs w:val="32"/>
        </w:rPr>
      </w:pPr>
    </w:p>
    <w:p>
      <w:pPr>
        <w:spacing w:line="600" w:lineRule="exact"/>
        <w:ind w:firstLine="640" w:firstLineChars="200"/>
        <w:rPr>
          <w:rFonts w:eastAsia="方正仿宋_GBK"/>
          <w:sz w:val="32"/>
          <w:szCs w:val="32"/>
        </w:rPr>
      </w:pPr>
    </w:p>
    <w:p>
      <w:pPr>
        <w:spacing w:line="600" w:lineRule="exact"/>
        <w:ind w:firstLine="640" w:firstLineChars="200"/>
        <w:rPr>
          <w:rFonts w:eastAsia="方正仿宋_GBK"/>
          <w:sz w:val="32"/>
          <w:szCs w:val="32"/>
        </w:rPr>
      </w:pPr>
    </w:p>
    <w:p>
      <w:pPr>
        <w:spacing w:line="600" w:lineRule="exact"/>
        <w:ind w:right="525" w:rightChars="250"/>
        <w:jc w:val="right"/>
        <w:rPr>
          <w:rFonts w:eastAsia="方正仿宋_GBK"/>
          <w:sz w:val="32"/>
          <w:szCs w:val="32"/>
        </w:rPr>
      </w:pPr>
      <w:r>
        <w:rPr>
          <w:rFonts w:eastAsia="方正仿宋_GBK"/>
          <w:sz w:val="32"/>
          <w:szCs w:val="32"/>
        </w:rPr>
        <w:t xml:space="preserve">重庆市人力资源和社会保障局 </w:t>
      </w:r>
    </w:p>
    <w:p>
      <w:pPr>
        <w:spacing w:line="600" w:lineRule="exact"/>
        <w:ind w:right="525" w:rightChars="250" w:firstLine="3840" w:firstLineChars="1200"/>
        <w:jc w:val="right"/>
        <w:rPr>
          <w:rFonts w:eastAsia="方正仿宋_GBK"/>
          <w:sz w:val="32"/>
          <w:szCs w:val="32"/>
        </w:rPr>
      </w:pPr>
      <w:r>
        <w:rPr>
          <w:rFonts w:eastAsia="方正仿宋_GBK"/>
          <w:sz w:val="32"/>
          <w:szCs w:val="32"/>
        </w:rPr>
        <w:t xml:space="preserve">重 庆 市 财 政 局 </w:t>
      </w:r>
    </w:p>
    <w:p>
      <w:pPr>
        <w:wordWrap w:val="0"/>
        <w:spacing w:line="600" w:lineRule="exact"/>
        <w:ind w:right="525" w:rightChars="250" w:firstLine="3840" w:firstLineChars="1200"/>
        <w:jc w:val="right"/>
        <w:rPr>
          <w:rFonts w:eastAsia="方正仿宋_GBK"/>
          <w:sz w:val="32"/>
          <w:szCs w:val="32"/>
        </w:rPr>
      </w:pPr>
      <w:r>
        <w:rPr>
          <w:rFonts w:hint="eastAsia" w:eastAsia="方正仿宋_GBK"/>
          <w:sz w:val="32"/>
          <w:szCs w:val="32"/>
          <w:lang w:val="en-US" w:eastAsia="zh-CN"/>
        </w:rPr>
        <w:t xml:space="preserve">            </w:t>
      </w:r>
      <w:r>
        <w:rPr>
          <w:rFonts w:eastAsia="方正仿宋_GBK"/>
          <w:sz w:val="32"/>
          <w:szCs w:val="32"/>
        </w:rPr>
        <w:t xml:space="preserve">2017年7月20日     </w:t>
      </w:r>
    </w:p>
    <w:p>
      <w:pPr>
        <w:rPr>
          <w:rFonts w:eastAsia="方正仿宋_GBK"/>
          <w:sz w:val="32"/>
          <w:szCs w:val="32"/>
        </w:rPr>
      </w:pPr>
    </w:p>
    <w:p>
      <w:pPr>
        <w:rPr>
          <w:rFonts w:eastAsia="方正仿宋_GBK"/>
          <w:sz w:val="32"/>
          <w:szCs w:val="32"/>
        </w:rPr>
      </w:pPr>
    </w:p>
    <w:p>
      <w:pPr>
        <w:rPr>
          <w:rFonts w:eastAsia="方正仿宋_GBK"/>
          <w:sz w:val="32"/>
          <w:szCs w:val="32"/>
        </w:rPr>
      </w:pPr>
    </w:p>
    <w:p>
      <w:pPr>
        <w:rPr>
          <w:rFonts w:eastAsia="方正仿宋_GBK"/>
          <w:sz w:val="32"/>
          <w:szCs w:val="32"/>
        </w:rPr>
      </w:pPr>
    </w:p>
    <w:p>
      <w:pPr>
        <w:rPr>
          <w:rFonts w:eastAsia="方正仿宋_GBK"/>
          <w:sz w:val="32"/>
          <w:szCs w:val="32"/>
        </w:rPr>
      </w:pPr>
    </w:p>
    <w:p>
      <w:pPr>
        <w:rPr>
          <w:rFonts w:eastAsia="方正仿宋_GBK"/>
          <w:sz w:val="32"/>
          <w:szCs w:val="32"/>
        </w:rPr>
      </w:pPr>
    </w:p>
    <w:p>
      <w:pPr>
        <w:rPr>
          <w:rFonts w:eastAsia="方正仿宋_GBK"/>
          <w:sz w:val="32"/>
          <w:szCs w:val="32"/>
        </w:rPr>
      </w:pPr>
    </w:p>
    <w:p>
      <w:pPr>
        <w:ind w:right="24"/>
        <w:rPr>
          <w:sz w:val="32"/>
          <w:szCs w:val="32"/>
        </w:rPr>
      </w:pPr>
    </w:p>
    <w:p>
      <w:pPr>
        <w:ind w:right="24"/>
        <w:rPr>
          <w:sz w:val="32"/>
          <w:szCs w:val="32"/>
        </w:rPr>
      </w:pPr>
    </w:p>
    <w:tbl>
      <w:tblPr>
        <w:tblStyle w:val="7"/>
        <w:tblW w:w="0" w:type="auto"/>
        <w:tblInd w:w="108" w:type="dxa"/>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986"/>
        <w:gridCol w:w="3428"/>
      </w:tblGrid>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414" w:type="dxa"/>
            <w:gridSpan w:val="2"/>
            <w:noWrap w:val="0"/>
            <w:vAlign w:val="center"/>
          </w:tcPr>
          <w:p>
            <w:pPr>
              <w:rPr>
                <w:sz w:val="32"/>
                <w:szCs w:val="32"/>
              </w:rPr>
            </w:pPr>
          </w:p>
        </w:tc>
      </w:tr>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4986" w:type="dxa"/>
            <w:tcBorders>
              <w:right w:val="nil"/>
            </w:tcBorders>
            <w:noWrap w:val="0"/>
            <w:vAlign w:val="center"/>
          </w:tcPr>
          <w:p>
            <w:pPr>
              <w:ind w:firstLine="280" w:firstLineChars="100"/>
              <w:rPr>
                <w:rFonts w:eastAsia="方正仿宋_GBK"/>
                <w:spacing w:val="-20"/>
                <w:sz w:val="32"/>
                <w:szCs w:val="32"/>
              </w:rPr>
            </w:pPr>
            <w:r>
              <w:rPr>
                <w:rFonts w:eastAsia="方正仿宋_GBK"/>
                <w:spacing w:val="-20"/>
                <w:sz w:val="32"/>
                <w:szCs w:val="32"/>
              </w:rPr>
              <w:t>重庆市人力资源和社会保障局办公室</w:t>
            </w:r>
          </w:p>
        </w:tc>
        <w:tc>
          <w:tcPr>
            <w:tcW w:w="3428" w:type="dxa"/>
            <w:tcBorders>
              <w:top w:val="single" w:color="auto" w:sz="4" w:space="0"/>
              <w:left w:val="nil"/>
            </w:tcBorders>
            <w:noWrap w:val="0"/>
            <w:vAlign w:val="center"/>
          </w:tcPr>
          <w:p>
            <w:pPr>
              <w:jc w:val="right"/>
              <w:rPr>
                <w:rFonts w:eastAsia="方正仿宋_GBK"/>
                <w:sz w:val="32"/>
                <w:szCs w:val="32"/>
              </w:rPr>
            </w:pPr>
            <w:bookmarkStart w:id="0" w:name="印发时间"/>
            <w:r>
              <w:rPr>
                <w:rFonts w:eastAsia="方正仿宋_GBK"/>
                <w:sz w:val="32"/>
                <w:szCs w:val="32"/>
              </w:rPr>
              <w:t>2017年7月20日</w:t>
            </w:r>
            <w:bookmarkEnd w:id="0"/>
            <w:r>
              <w:rPr>
                <w:rFonts w:eastAsia="方正仿宋_GBK"/>
                <w:sz w:val="32"/>
                <w:szCs w:val="32"/>
              </w:rPr>
              <w:t>印发</w:t>
            </w:r>
          </w:p>
        </w:tc>
      </w:tr>
    </w:tbl>
    <w:p>
      <w:pPr>
        <w:spacing w:line="20" w:lineRule="exact"/>
        <w:rPr>
          <w:sz w:val="32"/>
          <w:szCs w:val="32"/>
        </w:rPr>
      </w:pPr>
    </w:p>
    <w:p>
      <w:pPr>
        <w:keepNext w:val="0"/>
        <w:keepLines w:val="0"/>
        <w:pageBreakBefore w:val="0"/>
        <w:widowControl w:val="0"/>
        <w:tabs>
          <w:tab w:val="left" w:pos="1440"/>
        </w:tabs>
        <w:kinsoku/>
        <w:wordWrap/>
        <w:overflowPunct/>
        <w:topLinePunct w:val="0"/>
        <w:autoSpaceDE/>
        <w:autoSpaceDN/>
        <w:bidi w:val="0"/>
        <w:adjustRightInd/>
        <w:snapToGrid/>
        <w:jc w:val="left"/>
        <w:textAlignment w:val="auto"/>
        <w:rPr>
          <w:rFonts w:hint="eastAsia" w:ascii="方正黑体_GBK" w:hAnsi="方正黑体_GBK" w:eastAsia="方正黑体_GBK" w:cs="方正黑体_GBK"/>
          <w:b w:val="0"/>
          <w:bCs/>
          <w:spacing w:val="0"/>
          <w:sz w:val="32"/>
          <w:szCs w:val="32"/>
          <w:lang w:val="en-US" w:eastAsia="zh-CN"/>
        </w:rPr>
      </w:pPr>
    </w:p>
    <w:p>
      <w:pPr>
        <w:spacing w:line="440" w:lineRule="exact"/>
        <w:ind w:right="240"/>
        <w:jc w:val="both"/>
        <w:rPr>
          <w:rFonts w:hint="eastAsia" w:eastAsiaTheme="minorEastAsia"/>
          <w:sz w:val="24"/>
          <w:szCs w:val="24"/>
          <w:lang w:val="en-US" w:eastAsia="zh-CN"/>
        </w:rPr>
      </w:pPr>
    </w:p>
    <w:p>
      <w:pPr>
        <w:spacing w:line="440" w:lineRule="exact"/>
        <w:ind w:right="240" w:firstLine="480" w:firstLineChars="200"/>
        <w:jc w:val="right"/>
        <w:rPr>
          <w:sz w:val="24"/>
          <w:szCs w:val="24"/>
        </w:rPr>
      </w:pPr>
    </w:p>
    <w:p>
      <w:pPr>
        <w:spacing w:line="440" w:lineRule="exact"/>
        <w:ind w:right="240" w:firstLine="880" w:firstLineChars="200"/>
        <w:jc w:val="right"/>
        <w:rPr>
          <w:rFonts w:ascii="Times New Roman" w:hAnsi="Times New Roman" w:eastAsia="方正小标宋_GBK" w:cs="Times New Roman"/>
          <w:sz w:val="44"/>
          <w:szCs w:val="44"/>
        </w:rPr>
      </w:pPr>
    </w:p>
    <w:p>
      <w:pPr>
        <w:rPr>
          <w:rFonts w:hint="eastAsia" w:ascii="方正黑体_GBK" w:hAnsi="方正黑体_GBK" w:eastAsia="方正黑体_GBK" w:cs="方正黑体_GBK"/>
          <w:sz w:val="32"/>
          <w:szCs w:val="32"/>
          <w:shd w:val="clear" w:color="auto" w:fill="FFFFFF"/>
        </w:rPr>
      </w:pPr>
    </w:p>
    <w:p>
      <w:pPr>
        <w:rPr>
          <w:rFonts w:hint="eastAsia" w:ascii="方正黑体_GBK" w:hAnsi="方正黑体_GBK" w:eastAsia="方正黑体_GBK" w:cs="方正黑体_GBK"/>
          <w:sz w:val="32"/>
          <w:szCs w:val="32"/>
          <w:shd w:val="clear" w:color="auto" w:fill="FFFFFF"/>
        </w:rPr>
      </w:pPr>
    </w:p>
    <w:p>
      <w:pPr>
        <w:rPr>
          <w:rFonts w:hint="eastAsia" w:ascii="方正黑体_GBK" w:hAnsi="方正黑体_GBK" w:eastAsia="方正黑体_GBK" w:cs="方正黑体_GBK"/>
          <w:sz w:val="32"/>
          <w:szCs w:val="32"/>
          <w:shd w:val="clear" w:color="auto" w:fill="FFFFFF"/>
          <w:lang w:eastAsia="zh-CN"/>
        </w:rPr>
      </w:pPr>
      <w:r>
        <w:rPr>
          <w:rFonts w:hint="eastAsia" w:ascii="方正黑体_GBK" w:hAnsi="方正黑体_GBK" w:eastAsia="方正黑体_GBK" w:cs="方正黑体_GBK"/>
          <w:sz w:val="32"/>
          <w:szCs w:val="32"/>
          <w:shd w:val="clear" w:color="auto" w:fill="FFFFFF"/>
        </w:rPr>
        <w:t>附件</w:t>
      </w:r>
      <w:r>
        <w:rPr>
          <w:rFonts w:hint="eastAsia" w:ascii="方正黑体_GBK" w:hAnsi="方正黑体_GBK" w:eastAsia="方正黑体_GBK" w:cs="方正黑体_GBK"/>
          <w:sz w:val="32"/>
          <w:szCs w:val="32"/>
          <w:shd w:val="clear" w:color="auto" w:fill="FFFFFF"/>
          <w:lang w:val="en-US" w:eastAsia="zh-CN"/>
        </w:rPr>
        <w:t>5</w:t>
      </w:r>
    </w:p>
    <w:p>
      <w:pPr>
        <w:jc w:val="center"/>
        <w:rPr>
          <w:rFonts w:hint="eastAsia" w:ascii="方正小标宋_GBK" w:hAnsi="方正小标宋简体" w:eastAsia="方正小标宋_GBK" w:cs="方正小标宋简体"/>
          <w:sz w:val="44"/>
          <w:szCs w:val="44"/>
        </w:rPr>
      </w:pPr>
      <w:r>
        <w:rPr>
          <w:rFonts w:hint="eastAsia" w:ascii="方正小标宋_GBK" w:hAnsi="方正小标宋简体" w:eastAsia="方正小标宋_GBK" w:cs="方正小标宋简体"/>
          <w:sz w:val="44"/>
          <w:szCs w:val="44"/>
        </w:rPr>
        <w:t>学员</w:t>
      </w:r>
      <w:r>
        <w:rPr>
          <w:rFonts w:hint="eastAsia" w:ascii="方正小标宋_GBK" w:hAnsi="方正小标宋简体" w:eastAsia="方正小标宋_GBK" w:cs="方正小标宋简体"/>
          <w:sz w:val="44"/>
          <w:szCs w:val="44"/>
          <w:lang w:val="en-US" w:eastAsia="zh-CN"/>
        </w:rPr>
        <w:t>参</w:t>
      </w:r>
      <w:r>
        <w:rPr>
          <w:rFonts w:hint="eastAsia" w:ascii="方正小标宋_GBK" w:hAnsi="方正小标宋简体" w:eastAsia="方正小标宋_GBK" w:cs="方正小标宋简体"/>
          <w:sz w:val="44"/>
          <w:szCs w:val="44"/>
        </w:rPr>
        <w:t>训健康承诺书</w:t>
      </w:r>
    </w:p>
    <w:tbl>
      <w:tblPr>
        <w:tblStyle w:val="7"/>
        <w:tblpPr w:leftFromText="180" w:rightFromText="180" w:vertAnchor="text" w:horzAnchor="page" w:tblpXSpec="center" w:tblpY="362"/>
        <w:tblOverlap w:val="never"/>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546"/>
        <w:gridCol w:w="1243"/>
        <w:gridCol w:w="1993"/>
        <w:gridCol w:w="137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417" w:type="dxa"/>
            <w:noWrap w:val="0"/>
            <w:vAlign w:val="center"/>
          </w:tcPr>
          <w:p>
            <w:pPr>
              <w:jc w:val="center"/>
              <w:rPr>
                <w:sz w:val="28"/>
                <w:szCs w:val="28"/>
              </w:rPr>
            </w:pPr>
            <w:r>
              <w:rPr>
                <w:rFonts w:hint="eastAsia"/>
                <w:sz w:val="28"/>
                <w:szCs w:val="28"/>
              </w:rPr>
              <w:t>机构名称</w:t>
            </w:r>
          </w:p>
        </w:tc>
        <w:tc>
          <w:tcPr>
            <w:tcW w:w="7655" w:type="dxa"/>
            <w:gridSpan w:val="5"/>
            <w:noWrap w:val="0"/>
            <w:vAlign w:val="center"/>
          </w:tcPr>
          <w:p>
            <w:pPr>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417" w:type="dxa"/>
            <w:noWrap w:val="0"/>
            <w:vAlign w:val="center"/>
          </w:tcPr>
          <w:p>
            <w:pPr>
              <w:jc w:val="center"/>
              <w:rPr>
                <w:sz w:val="28"/>
                <w:szCs w:val="28"/>
              </w:rPr>
            </w:pPr>
            <w:r>
              <w:rPr>
                <w:rFonts w:hint="eastAsia"/>
                <w:sz w:val="28"/>
                <w:szCs w:val="28"/>
              </w:rPr>
              <w:t>姓  名</w:t>
            </w:r>
          </w:p>
        </w:tc>
        <w:tc>
          <w:tcPr>
            <w:tcW w:w="1546" w:type="dxa"/>
            <w:noWrap w:val="0"/>
            <w:vAlign w:val="center"/>
          </w:tcPr>
          <w:p>
            <w:pPr>
              <w:jc w:val="center"/>
              <w:rPr>
                <w:sz w:val="28"/>
                <w:szCs w:val="28"/>
              </w:rPr>
            </w:pPr>
          </w:p>
        </w:tc>
        <w:tc>
          <w:tcPr>
            <w:tcW w:w="1243" w:type="dxa"/>
            <w:noWrap w:val="0"/>
            <w:vAlign w:val="center"/>
          </w:tcPr>
          <w:p>
            <w:pPr>
              <w:jc w:val="center"/>
              <w:rPr>
                <w:sz w:val="28"/>
                <w:szCs w:val="28"/>
              </w:rPr>
            </w:pPr>
            <w:r>
              <w:rPr>
                <w:rFonts w:hint="eastAsia"/>
                <w:sz w:val="28"/>
                <w:szCs w:val="28"/>
              </w:rPr>
              <w:t>性 别</w:t>
            </w:r>
          </w:p>
        </w:tc>
        <w:tc>
          <w:tcPr>
            <w:tcW w:w="1993" w:type="dxa"/>
            <w:noWrap w:val="0"/>
            <w:vAlign w:val="center"/>
          </w:tcPr>
          <w:p>
            <w:pPr>
              <w:jc w:val="center"/>
              <w:rPr>
                <w:sz w:val="28"/>
                <w:szCs w:val="28"/>
              </w:rPr>
            </w:pPr>
          </w:p>
        </w:tc>
        <w:tc>
          <w:tcPr>
            <w:tcW w:w="1371" w:type="dxa"/>
            <w:noWrap w:val="0"/>
            <w:vAlign w:val="center"/>
          </w:tcPr>
          <w:p>
            <w:pPr>
              <w:jc w:val="center"/>
              <w:rPr>
                <w:sz w:val="28"/>
                <w:szCs w:val="28"/>
              </w:rPr>
            </w:pPr>
            <w:r>
              <w:rPr>
                <w:rFonts w:hint="eastAsia"/>
                <w:sz w:val="28"/>
                <w:szCs w:val="28"/>
              </w:rPr>
              <w:t>年 龄</w:t>
            </w:r>
          </w:p>
        </w:tc>
        <w:tc>
          <w:tcPr>
            <w:tcW w:w="1502" w:type="dxa"/>
            <w:noWrap w:val="0"/>
            <w:vAlign w:val="center"/>
          </w:tcPr>
          <w:p>
            <w:pPr>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417" w:type="dxa"/>
            <w:noWrap w:val="0"/>
            <w:vAlign w:val="center"/>
          </w:tcPr>
          <w:p>
            <w:pPr>
              <w:jc w:val="center"/>
              <w:rPr>
                <w:rFonts w:hint="default" w:eastAsiaTheme="minorEastAsia"/>
                <w:sz w:val="28"/>
                <w:szCs w:val="28"/>
                <w:lang w:val="en-US" w:eastAsia="zh-CN"/>
              </w:rPr>
            </w:pPr>
            <w:r>
              <w:rPr>
                <w:rFonts w:hint="eastAsia"/>
                <w:sz w:val="28"/>
                <w:szCs w:val="28"/>
                <w:lang w:val="en-US" w:eastAsia="zh-CN"/>
              </w:rPr>
              <w:t>培训工种</w:t>
            </w:r>
          </w:p>
        </w:tc>
        <w:tc>
          <w:tcPr>
            <w:tcW w:w="2789" w:type="dxa"/>
            <w:gridSpan w:val="2"/>
            <w:noWrap w:val="0"/>
            <w:vAlign w:val="center"/>
          </w:tcPr>
          <w:p>
            <w:pPr>
              <w:jc w:val="center"/>
              <w:rPr>
                <w:sz w:val="28"/>
                <w:szCs w:val="28"/>
              </w:rPr>
            </w:pPr>
          </w:p>
        </w:tc>
        <w:tc>
          <w:tcPr>
            <w:tcW w:w="1993" w:type="dxa"/>
            <w:noWrap w:val="0"/>
            <w:vAlign w:val="center"/>
          </w:tcPr>
          <w:p>
            <w:pPr>
              <w:jc w:val="center"/>
              <w:rPr>
                <w:sz w:val="28"/>
                <w:szCs w:val="28"/>
              </w:rPr>
            </w:pPr>
            <w:r>
              <w:rPr>
                <w:rFonts w:hint="eastAsia"/>
                <w:sz w:val="28"/>
                <w:szCs w:val="28"/>
              </w:rPr>
              <w:t>联系电话</w:t>
            </w:r>
          </w:p>
        </w:tc>
        <w:tc>
          <w:tcPr>
            <w:tcW w:w="2873" w:type="dxa"/>
            <w:gridSpan w:val="2"/>
            <w:noWrap w:val="0"/>
            <w:vAlign w:val="center"/>
          </w:tcPr>
          <w:p>
            <w:pPr>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noWrap w:val="0"/>
            <w:vAlign w:val="center"/>
          </w:tcPr>
          <w:p>
            <w:pPr>
              <w:jc w:val="center"/>
              <w:rPr>
                <w:sz w:val="28"/>
                <w:szCs w:val="28"/>
              </w:rPr>
            </w:pPr>
            <w:r>
              <w:rPr>
                <w:rFonts w:hint="eastAsia"/>
                <w:sz w:val="28"/>
                <w:szCs w:val="28"/>
              </w:rPr>
              <w:t>身份证号</w:t>
            </w:r>
          </w:p>
        </w:tc>
        <w:tc>
          <w:tcPr>
            <w:tcW w:w="7655" w:type="dxa"/>
            <w:gridSpan w:val="5"/>
            <w:noWrap w:val="0"/>
            <w:vAlign w:val="center"/>
          </w:tcPr>
          <w:p>
            <w:pPr>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noWrap w:val="0"/>
            <w:vAlign w:val="center"/>
          </w:tcPr>
          <w:p>
            <w:pPr>
              <w:jc w:val="center"/>
              <w:rPr>
                <w:sz w:val="28"/>
                <w:szCs w:val="28"/>
              </w:rPr>
            </w:pPr>
            <w:r>
              <w:rPr>
                <w:rFonts w:hint="eastAsia"/>
                <w:sz w:val="28"/>
                <w:szCs w:val="28"/>
              </w:rPr>
              <w:t>家庭住址</w:t>
            </w:r>
          </w:p>
        </w:tc>
        <w:tc>
          <w:tcPr>
            <w:tcW w:w="7655" w:type="dxa"/>
            <w:gridSpan w:val="5"/>
            <w:noWrap w:val="0"/>
            <w:vAlign w:val="center"/>
          </w:tcPr>
          <w:p>
            <w:pPr>
              <w:jc w:val="center"/>
              <w:rPr>
                <w:sz w:val="28"/>
                <w:szCs w:val="28"/>
              </w:rPr>
            </w:pPr>
            <w:r>
              <w:rPr>
                <w:rFonts w:hint="eastAsia"/>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2" w:hRule="atLeast"/>
        </w:trPr>
        <w:tc>
          <w:tcPr>
            <w:tcW w:w="9072" w:type="dxa"/>
            <w:gridSpan w:val="6"/>
            <w:noWrap w:val="0"/>
            <w:vAlign w:val="top"/>
          </w:tcPr>
          <w:p>
            <w:pPr>
              <w:spacing w:line="40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本人承诺：</w:t>
            </w:r>
          </w:p>
          <w:p>
            <w:pPr>
              <w:spacing w:line="400" w:lineRule="exact"/>
              <w:ind w:firstLine="56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本人承诺自</w:t>
            </w:r>
            <w:r>
              <w:rPr>
                <w:rFonts w:hint="eastAsia" w:ascii="方正仿宋_GBK" w:hAnsi="方正仿宋_GBK" w:eastAsia="方正仿宋_GBK" w:cs="方正仿宋_GBK"/>
                <w:sz w:val="28"/>
                <w:szCs w:val="28"/>
                <w:lang w:val="en-US" w:eastAsia="zh-CN"/>
              </w:rPr>
              <w:t>参加报名之</w:t>
            </w:r>
            <w:r>
              <w:rPr>
                <w:rFonts w:hint="eastAsia" w:ascii="方正仿宋_GBK" w:hAnsi="方正仿宋_GBK" w:eastAsia="方正仿宋_GBK" w:cs="方正仿宋_GBK"/>
                <w:sz w:val="28"/>
                <w:szCs w:val="28"/>
              </w:rPr>
              <w:t xml:space="preserve">日起前14天内，未与新冠肺炎病例、疑似病例等密切接触；未去过疫情中、高风险地区（含境外）或与中、高风险地区返渝人员密切接触；本人身体状况良好，无发热、咳嗽、乏力、胸闷、腹泻等症状。  </w:t>
            </w:r>
          </w:p>
          <w:p>
            <w:pPr>
              <w:spacing w:line="400" w:lineRule="exact"/>
              <w:ind w:firstLine="56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本人对以上提供的健康相关信息的真实性负责，如因信息不实引起疫情传播和扩散，愿承担由此带来的全部法律责任。</w:t>
            </w:r>
          </w:p>
          <w:p>
            <w:pPr>
              <w:spacing w:line="400" w:lineRule="exact"/>
              <w:ind w:firstLine="560"/>
              <w:rPr>
                <w:rFonts w:ascii="方正仿宋_GBK" w:hAnsi="方正仿宋_GBK" w:eastAsia="方正仿宋_GBK" w:cs="方正仿宋_GBK"/>
                <w:sz w:val="28"/>
                <w:szCs w:val="28"/>
              </w:rPr>
            </w:pPr>
          </w:p>
          <w:p>
            <w:pPr>
              <w:spacing w:line="400" w:lineRule="exact"/>
              <w:ind w:left="5587" w:leftChars="2527" w:hanging="280" w:hangingChars="100"/>
              <w:jc w:val="left"/>
              <w:rPr>
                <w:sz w:val="28"/>
                <w:szCs w:val="28"/>
              </w:rPr>
            </w:pPr>
            <w:r>
              <w:rPr>
                <w:rFonts w:hint="eastAsia" w:ascii="方正仿宋_GBK" w:hAnsi="方正仿宋_GBK" w:eastAsia="方正仿宋_GBK" w:cs="方正仿宋_GBK"/>
                <w:sz w:val="28"/>
                <w:szCs w:val="28"/>
              </w:rPr>
              <w:t xml:space="preserve">学员（签字）                                               </w:t>
            </w:r>
            <w:r>
              <w:rPr>
                <w:rFonts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t>年    月    日</w:t>
            </w:r>
          </w:p>
        </w:tc>
      </w:tr>
    </w:tbl>
    <w:p>
      <w:pPr>
        <w:spacing w:line="0" w:lineRule="atLeast"/>
        <w:rPr>
          <w:rFonts w:ascii="方正仿宋_GBK" w:hAnsi="方正仿宋_GBK" w:eastAsia="方正仿宋_GBK" w:cs="方正仿宋_GBK"/>
          <w:sz w:val="24"/>
        </w:rPr>
      </w:pPr>
    </w:p>
    <w:p>
      <w:pPr>
        <w:spacing w:line="0" w:lineRule="atLeast"/>
        <w:rPr>
          <w:rFonts w:ascii="方正仿宋_GBK" w:hAnsi="方正仿宋_GBK" w:eastAsia="方正仿宋_GBK" w:cs="方正仿宋_GBK"/>
          <w:sz w:val="24"/>
        </w:rPr>
      </w:pPr>
    </w:p>
    <w:p>
      <w:pPr>
        <w:spacing w:line="400" w:lineRule="exact"/>
        <w:ind w:firstLine="480" w:firstLineChars="200"/>
        <w:rPr>
          <w:rFonts w:ascii="方正仿宋_GBK" w:hAnsi="方正仿宋_GBK" w:eastAsia="方正仿宋_GBK" w:cs="方正仿宋_GBK"/>
          <w:sz w:val="24"/>
        </w:rPr>
      </w:pPr>
      <w:r>
        <w:rPr>
          <w:rFonts w:hint="eastAsia" w:ascii="方正仿宋_GBK" w:hAnsi="方正仿宋_GBK" w:eastAsia="方正仿宋_GBK" w:cs="方正仿宋_GBK"/>
          <w:sz w:val="24"/>
        </w:rPr>
        <w:t>说明:1. 对隐瞒、谎报病情、旅居史、密切接触人员等信息，或者违反隔离、治疗有关规定，出入公共场所，参与人员聚集活动，故意传播疫情，危害公共安全的，依法按照危害公共安全罪追究相应法律责任。</w:t>
      </w:r>
    </w:p>
    <w:p>
      <w:pPr>
        <w:spacing w:line="400" w:lineRule="exact"/>
        <w:ind w:firstLine="480" w:firstLineChars="200"/>
        <w:rPr>
          <w:rFonts w:ascii="方正仿宋_GBK" w:hAnsi="方正仿宋_GBK" w:eastAsia="方正仿宋_GBK" w:cs="方正仿宋_GBK"/>
          <w:sz w:val="24"/>
        </w:rPr>
        <w:sectPr>
          <w:headerReference r:id="rId3" w:type="default"/>
          <w:footerReference r:id="rId4" w:type="default"/>
          <w:pgSz w:w="11906" w:h="16838"/>
          <w:pgMar w:top="1701" w:right="1446" w:bottom="1644" w:left="1446" w:header="851" w:footer="992" w:gutter="0"/>
          <w:pgNumType w:fmt="numberInDash"/>
          <w:cols w:space="720" w:num="1"/>
          <w:docGrid w:type="lines" w:linePitch="317" w:charSpace="0"/>
        </w:sectPr>
      </w:pPr>
      <w:r>
        <w:rPr>
          <w:rFonts w:hint="eastAsia" w:ascii="方正仿宋_GBK" w:hAnsi="方正仿宋_GBK" w:eastAsia="方正仿宋_GBK" w:cs="方正仿宋_GBK"/>
          <w:sz w:val="24"/>
        </w:rPr>
        <w:t>2.依照《中华人民共和国传染病防治法》中国公民有义务配合卫生防疫部门进行传染病隔离、调查等相关工作。对隐瞒实情、拒不配合导致疫情传播或者有传播严重危险的人员，将依法追究相应法律责。</w:t>
      </w:r>
    </w:p>
    <w:p>
      <w:pPr>
        <w:spacing w:line="440" w:lineRule="exact"/>
        <w:ind w:right="240" w:firstLine="880" w:firstLineChars="200"/>
        <w:jc w:val="right"/>
        <w:rPr>
          <w:sz w:val="24"/>
          <w:szCs w:val="24"/>
        </w:rPr>
      </w:pPr>
      <w:r>
        <w:rPr>
          <w:rFonts w:ascii="Times New Roman" w:hAnsi="Times New Roman" w:eastAsia="方正小标宋_GBK" w:cs="Times New Roman"/>
          <w:sz w:val="44"/>
          <w:szCs w:val="44"/>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altName w:val="方正舒体"/>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12</w:t>
    </w:r>
    <w:r>
      <w:rPr>
        <w:rFonts w:ascii="宋体" w:hAnsi="宋体"/>
        <w:sz w:val="28"/>
        <w:szCs w:val="28"/>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xYTIyM2Q1NWY5NDEyNGQ1NmE0ZjQzNzE5N2MxY2YifQ=="/>
  </w:docVars>
  <w:rsids>
    <w:rsidRoot w:val="008C50FC"/>
    <w:rsid w:val="000044CD"/>
    <w:rsid w:val="00066A83"/>
    <w:rsid w:val="000709ED"/>
    <w:rsid w:val="0007592E"/>
    <w:rsid w:val="000B7147"/>
    <w:rsid w:val="000D17C9"/>
    <w:rsid w:val="00123CE2"/>
    <w:rsid w:val="001463B7"/>
    <w:rsid w:val="00193BEE"/>
    <w:rsid w:val="0019617B"/>
    <w:rsid w:val="001E021C"/>
    <w:rsid w:val="001E70B1"/>
    <w:rsid w:val="001F65B3"/>
    <w:rsid w:val="00225364"/>
    <w:rsid w:val="0026295C"/>
    <w:rsid w:val="00296CD8"/>
    <w:rsid w:val="002C1EF2"/>
    <w:rsid w:val="002F609A"/>
    <w:rsid w:val="003363D2"/>
    <w:rsid w:val="0035727C"/>
    <w:rsid w:val="003A0E0F"/>
    <w:rsid w:val="003C4414"/>
    <w:rsid w:val="003C4B89"/>
    <w:rsid w:val="0045436D"/>
    <w:rsid w:val="00464EAB"/>
    <w:rsid w:val="0047723A"/>
    <w:rsid w:val="00485B6B"/>
    <w:rsid w:val="004A7053"/>
    <w:rsid w:val="00561F6F"/>
    <w:rsid w:val="005A0FCE"/>
    <w:rsid w:val="0060248A"/>
    <w:rsid w:val="00622F27"/>
    <w:rsid w:val="00627136"/>
    <w:rsid w:val="00664284"/>
    <w:rsid w:val="006745CF"/>
    <w:rsid w:val="00680FD1"/>
    <w:rsid w:val="0068457A"/>
    <w:rsid w:val="00685084"/>
    <w:rsid w:val="006C318D"/>
    <w:rsid w:val="00752047"/>
    <w:rsid w:val="007531CD"/>
    <w:rsid w:val="00756B44"/>
    <w:rsid w:val="0078096F"/>
    <w:rsid w:val="007B1099"/>
    <w:rsid w:val="007B4099"/>
    <w:rsid w:val="007B512D"/>
    <w:rsid w:val="007F615E"/>
    <w:rsid w:val="008055FA"/>
    <w:rsid w:val="0082334C"/>
    <w:rsid w:val="00854C21"/>
    <w:rsid w:val="00887449"/>
    <w:rsid w:val="008B2F0E"/>
    <w:rsid w:val="008C50FC"/>
    <w:rsid w:val="008D6AF0"/>
    <w:rsid w:val="008E1688"/>
    <w:rsid w:val="008F3878"/>
    <w:rsid w:val="00971C29"/>
    <w:rsid w:val="00981E45"/>
    <w:rsid w:val="009969B6"/>
    <w:rsid w:val="009A2C6D"/>
    <w:rsid w:val="009D140C"/>
    <w:rsid w:val="009D7F5C"/>
    <w:rsid w:val="00A701C6"/>
    <w:rsid w:val="00A827F4"/>
    <w:rsid w:val="00A95B2A"/>
    <w:rsid w:val="00AA7236"/>
    <w:rsid w:val="00AD263A"/>
    <w:rsid w:val="00AF0FE2"/>
    <w:rsid w:val="00AF1762"/>
    <w:rsid w:val="00B419BB"/>
    <w:rsid w:val="00B44202"/>
    <w:rsid w:val="00B50A98"/>
    <w:rsid w:val="00B93850"/>
    <w:rsid w:val="00B93862"/>
    <w:rsid w:val="00BF3DE1"/>
    <w:rsid w:val="00BF6649"/>
    <w:rsid w:val="00C04F5C"/>
    <w:rsid w:val="00C26AAA"/>
    <w:rsid w:val="00CB6245"/>
    <w:rsid w:val="00CB7D54"/>
    <w:rsid w:val="00CC56E4"/>
    <w:rsid w:val="00CE2AFD"/>
    <w:rsid w:val="00D340DD"/>
    <w:rsid w:val="00D46378"/>
    <w:rsid w:val="00D52359"/>
    <w:rsid w:val="00D558D5"/>
    <w:rsid w:val="00D60168"/>
    <w:rsid w:val="00D75068"/>
    <w:rsid w:val="00E031E0"/>
    <w:rsid w:val="00E431CA"/>
    <w:rsid w:val="00E56DCE"/>
    <w:rsid w:val="00E75EA4"/>
    <w:rsid w:val="00E919C7"/>
    <w:rsid w:val="00EA6786"/>
    <w:rsid w:val="00ED1B9D"/>
    <w:rsid w:val="00F60E94"/>
    <w:rsid w:val="00FA2E4D"/>
    <w:rsid w:val="00FD703A"/>
    <w:rsid w:val="01D431EB"/>
    <w:rsid w:val="08EB56C2"/>
    <w:rsid w:val="0CCF064A"/>
    <w:rsid w:val="0D584D9B"/>
    <w:rsid w:val="117869A7"/>
    <w:rsid w:val="14E51211"/>
    <w:rsid w:val="214D5DE0"/>
    <w:rsid w:val="22DD3C9E"/>
    <w:rsid w:val="27861BC6"/>
    <w:rsid w:val="29D25779"/>
    <w:rsid w:val="29F329F1"/>
    <w:rsid w:val="306626A4"/>
    <w:rsid w:val="3719540A"/>
    <w:rsid w:val="38335023"/>
    <w:rsid w:val="391510AA"/>
    <w:rsid w:val="3BBC60A6"/>
    <w:rsid w:val="4473772A"/>
    <w:rsid w:val="481B0BB2"/>
    <w:rsid w:val="4B2F4696"/>
    <w:rsid w:val="53B21CDA"/>
    <w:rsid w:val="54D03850"/>
    <w:rsid w:val="57864E42"/>
    <w:rsid w:val="5C655F60"/>
    <w:rsid w:val="5D113C58"/>
    <w:rsid w:val="5F950838"/>
    <w:rsid w:val="699C6C74"/>
    <w:rsid w:val="6B066604"/>
    <w:rsid w:val="74642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420" w:right="504" w:firstLine="576"/>
    </w:pPr>
    <w:rPr>
      <w:rFonts w:ascii="Times New Roman" w:hAnsi="Times New Roman" w:eastAsia="仿宋_GB2312" w:cs="Times New Roman"/>
      <w:sz w:val="28"/>
      <w:szCs w:val="24"/>
    </w:rPr>
  </w:style>
  <w:style w:type="paragraph" w:styleId="3">
    <w:name w:val="Date"/>
    <w:basedOn w:val="1"/>
    <w:next w:val="1"/>
    <w:link w:val="14"/>
    <w:semiHidden/>
    <w:unhideWhenUsed/>
    <w:qFormat/>
    <w:uiPriority w:val="99"/>
    <w:pPr>
      <w:ind w:left="100" w:leftChars="2500"/>
    </w:pPr>
  </w:style>
  <w:style w:type="paragraph" w:styleId="4">
    <w:name w:val="footer"/>
    <w:basedOn w:val="1"/>
    <w:link w:val="13"/>
    <w:unhideWhenUsed/>
    <w:qFormat/>
    <w:uiPriority w:val="0"/>
    <w:pPr>
      <w:tabs>
        <w:tab w:val="center" w:pos="4153"/>
        <w:tab w:val="right" w:pos="8306"/>
      </w:tabs>
      <w:snapToGrid w:val="0"/>
      <w:jc w:val="left"/>
    </w:pPr>
    <w:rPr>
      <w:sz w:val="18"/>
      <w:szCs w:val="18"/>
    </w:rPr>
  </w:style>
  <w:style w:type="paragraph" w:styleId="5">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Hyperlink"/>
    <w:basedOn w:val="9"/>
    <w:semiHidden/>
    <w:unhideWhenUsed/>
    <w:qFormat/>
    <w:uiPriority w:val="99"/>
    <w:rPr>
      <w:color w:val="0000FF"/>
      <w:u w:val="single"/>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character" w:customStyle="1" w:styleId="14">
    <w:name w:val="日期 Char"/>
    <w:basedOn w:val="9"/>
    <w:link w:val="3"/>
    <w:semiHidden/>
    <w:qFormat/>
    <w:uiPriority w:val="99"/>
  </w:style>
  <w:style w:type="character" w:customStyle="1" w:styleId="15">
    <w:name w:val="15"/>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2197</Words>
  <Characters>2241</Characters>
  <Lines>28</Lines>
  <Paragraphs>8</Paragraphs>
  <TotalTime>3</TotalTime>
  <ScaleCrop>false</ScaleCrop>
  <LinksUpToDate>false</LinksUpToDate>
  <CharactersWithSpaces>2334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2021-04-29T06:17:00Z</dcterms:created>
  <dc:creator>PC</dc:creator>
  <cp:lastModifiedBy>ZHANG11</cp:lastModifiedBy>
  <cp:lastPrinted>2022-03-08T06:39:00Z</cp:lastPrinted>
  <dcterms:modified xsi:type="dcterms:W3CDTF">2023-04-06T08:54:53Z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36453C0E5E954A9197DBAFA98AF2A3B7</vt:lpwstr>
  </property>
</Properties>
</file>